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FAC" w:rsidRPr="00AC5FAC" w:rsidRDefault="00AC5FAC" w:rsidP="00AC5FAC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5FAC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№8 </w:t>
      </w:r>
    </w:p>
    <w:p w:rsidR="00AC5FAC" w:rsidRPr="00AC5FAC" w:rsidRDefault="00AC5FAC" w:rsidP="00AC5FAC">
      <w:pPr>
        <w:spacing w:after="0" w:line="274" w:lineRule="exact"/>
        <w:ind w:left="20" w:right="20"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5FAC">
        <w:rPr>
          <w:rFonts w:ascii="Times New Roman" w:eastAsia="Times New Roman" w:hAnsi="Times New Roman" w:cs="Times New Roman"/>
          <w:sz w:val="24"/>
          <w:szCs w:val="24"/>
        </w:rPr>
        <w:t xml:space="preserve">к приказу АО «Чукотэнерго» </w:t>
      </w:r>
    </w:p>
    <w:p w:rsidR="00AC5FAC" w:rsidRPr="00AC5FAC" w:rsidRDefault="00AC5FAC" w:rsidP="00AC5FAC">
      <w:pPr>
        <w:keepNext/>
        <w:keepLines/>
        <w:spacing w:after="0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C5FAC">
        <w:rPr>
          <w:rFonts w:ascii="Times New Roman" w:eastAsia="Times New Roman" w:hAnsi="Times New Roman" w:cs="Times New Roman"/>
          <w:bCs/>
          <w:spacing w:val="-20"/>
          <w:sz w:val="24"/>
          <w:szCs w:val="24"/>
          <w:shd w:val="clear" w:color="auto" w:fill="FFFFFF"/>
        </w:rPr>
        <w:t>от «_____» __________20__</w:t>
      </w:r>
      <w:r w:rsidRPr="00AC5FAC">
        <w:rPr>
          <w:rFonts w:ascii="Cambria" w:eastAsia="Times New Roman" w:hAnsi="Cambria" w:cs="Times New Roman"/>
          <w:bCs/>
          <w:sz w:val="24"/>
          <w:szCs w:val="24"/>
        </w:rPr>
        <w:t xml:space="preserve"> г. № ____</w:t>
      </w:r>
    </w:p>
    <w:p w:rsidR="00AC5FAC" w:rsidRPr="00AC5FAC" w:rsidRDefault="00AC5FAC" w:rsidP="00AC5FAC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C5FAC">
        <w:rPr>
          <w:rFonts w:ascii="Times New Roman" w:eastAsia="Times New Roman" w:hAnsi="Times New Roman" w:cs="Times New Roman"/>
          <w:b/>
          <w:bCs/>
          <w:sz w:val="24"/>
          <w:szCs w:val="24"/>
        </w:rPr>
        <w:t>СТАНДАРТ УСЛУГИ (ПРОЦЕССА) АО «Чукотэнерго»</w:t>
      </w:r>
    </w:p>
    <w:p w:rsidR="00AC5FAC" w:rsidRPr="00AC5FAC" w:rsidRDefault="00AC5FAC" w:rsidP="00AC5F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AC5FAC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ТЕХНОЛОГИЧЕСКОЕ ПРИСОЕДИНЕНИЕ К ЭЛЕКТРИЧЕСКИМ СЕТЯМ СЕТЕВОЙ ОРГАНИЗАЦИИ</w:t>
      </w:r>
    </w:p>
    <w:p w:rsidR="00AC5FAC" w:rsidRPr="00AC5FAC" w:rsidRDefault="00AC5FAC" w:rsidP="00AC5F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proofErr w:type="spellStart"/>
      <w:r w:rsidRPr="00AC5FAC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энергопринимающих</w:t>
      </w:r>
      <w:proofErr w:type="spellEnd"/>
      <w:r w:rsidRPr="00AC5FAC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 xml:space="preserve"> устройств юридических лиц и индивидуальных предпринимателей</w:t>
      </w:r>
      <w:r w:rsidRPr="00AC5FAC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br/>
        <w:t xml:space="preserve"> с максимальной мощностью свыше 670 кВт</w:t>
      </w:r>
    </w:p>
    <w:p w:rsidR="00AC5FAC" w:rsidRPr="00AC5FAC" w:rsidRDefault="00AC5FAC" w:rsidP="00AC5FAC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AC5FAC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КРУГ ЗАЯВИТЕЛЕЙ:</w:t>
      </w:r>
    </w:p>
    <w:p w:rsidR="00AC5FAC" w:rsidRPr="00AC5FAC" w:rsidRDefault="00AC5FAC" w:rsidP="00AC5FA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Юридическое лицо или индивидуальный предприниматель (далее - заявитель) в целях технологического присоединения  по одному источнику энергоснабжения </w:t>
      </w:r>
      <w:proofErr w:type="spellStart"/>
      <w:r w:rsidRPr="00AC5FAC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 устройств, максимальная мощность которых составляет свыше 670 кВт </w:t>
      </w:r>
    </w:p>
    <w:p w:rsidR="00AC5FAC" w:rsidRPr="00AC5FAC" w:rsidRDefault="00AC5FAC" w:rsidP="00AC5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5FAC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</w:p>
    <w:p w:rsidR="00AC5FAC" w:rsidRPr="00AC5FAC" w:rsidRDefault="00AC5FAC" w:rsidP="00AC5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Размер платы за технологическое присоединение </w:t>
      </w:r>
      <w:proofErr w:type="spellStart"/>
      <w:r w:rsidRPr="00AC5FAC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 устройств с максимальной мощностью свыше 670 кВт рассчитывается исходя из величины максимальной мощности присоединяемых </w:t>
      </w:r>
      <w:proofErr w:type="spellStart"/>
      <w:r w:rsidRPr="00AC5FAC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 устрой</w:t>
      </w:r>
      <w:proofErr w:type="gramStart"/>
      <w:r w:rsidRPr="00AC5FAC">
        <w:rPr>
          <w:rFonts w:ascii="Times New Roman" w:eastAsia="Calibri" w:hAnsi="Times New Roman" w:cs="Times New Roman"/>
          <w:sz w:val="24"/>
          <w:szCs w:val="24"/>
        </w:rPr>
        <w:t>ств с пр</w:t>
      </w:r>
      <w:proofErr w:type="gramEnd"/>
      <w:r w:rsidRPr="00AC5FAC">
        <w:rPr>
          <w:rFonts w:ascii="Times New Roman" w:eastAsia="Calibri" w:hAnsi="Times New Roman" w:cs="Times New Roman"/>
          <w:sz w:val="24"/>
          <w:szCs w:val="24"/>
        </w:rPr>
        <w:t>именением ставок за 1 кВт/или стандартизированных тарифных ставок, установленных уполномоченным органом исполнительной власти в области государственного регулирования тарифов.</w:t>
      </w:r>
    </w:p>
    <w:p w:rsidR="00AC5FAC" w:rsidRPr="00AC5FAC" w:rsidRDefault="00AC5FAC" w:rsidP="00AC5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FAC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</w:p>
    <w:p w:rsidR="00AC5FAC" w:rsidRPr="00AC5FAC" w:rsidRDefault="00AC5FAC" w:rsidP="00AC5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Намерение заявителя присоединить впервые вводимые в эксплуатацию, ранее присоединенные </w:t>
      </w:r>
      <w:proofErr w:type="spellStart"/>
      <w:r w:rsidRPr="00AC5FAC">
        <w:rPr>
          <w:rFonts w:ascii="Times New Roman" w:eastAsia="Calibri" w:hAnsi="Times New Roman" w:cs="Times New Roman"/>
          <w:sz w:val="24"/>
          <w:szCs w:val="24"/>
        </w:rPr>
        <w:t>энергопринимающие</w:t>
      </w:r>
      <w:proofErr w:type="spellEnd"/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 устройства и объекты электроэнергетики, максимальная мощность которых увеличивается, а также на случаи, при которых в отношении ранее присоединенных </w:t>
      </w:r>
      <w:proofErr w:type="spellStart"/>
      <w:r w:rsidRPr="00AC5FAC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 устройств изменяются категория надежности электроснабжения, точки присоединения, виды производственной деятельности, не влекущие пересмотр величины максимальной мощности, но изменяющие схему внешнего электроснабжения таких </w:t>
      </w:r>
      <w:proofErr w:type="spellStart"/>
      <w:r w:rsidRPr="00AC5FAC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 устройств. </w:t>
      </w:r>
      <w:proofErr w:type="gramEnd"/>
    </w:p>
    <w:p w:rsidR="00AC5FAC" w:rsidRPr="00AC5FAC" w:rsidRDefault="00AC5FAC" w:rsidP="00AC5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Действие Правил технологического присоединения </w:t>
      </w:r>
      <w:proofErr w:type="spellStart"/>
      <w:r w:rsidRPr="00AC5FAC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 устройств потребителей электрической энергии также распространяется на случаи присоединения ранее присоединенных </w:t>
      </w:r>
      <w:proofErr w:type="spellStart"/>
      <w:r w:rsidRPr="00AC5FAC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 устройств, выведенных из эксплуатации (в том числе в целях консервации на срок более 1 года) в порядке, установленном </w:t>
      </w:r>
      <w:hyperlink r:id="rId9" w:history="1">
        <w:r w:rsidRPr="00AC5FAC">
          <w:rPr>
            <w:rFonts w:ascii="Times New Roman" w:eastAsia="Calibri" w:hAnsi="Times New Roman" w:cs="Times New Roman"/>
            <w:color w:val="000000" w:themeColor="text1"/>
            <w:sz w:val="24"/>
            <w:szCs w:val="24"/>
            <w:u w:val="single"/>
          </w:rPr>
          <w:t>Правилами</w:t>
        </w:r>
      </w:hyperlink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 вывода объектов электроэнергетики в ремонт и из эксплуатации, утвержденными постановлением Правительства Российской Федерации от 26 июля 2007 г. N 484 "О выводе объектов электроэнергетики</w:t>
      </w:r>
      <w:proofErr w:type="gramEnd"/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 в ремонт и из эксплуатации".</w:t>
      </w:r>
    </w:p>
    <w:p w:rsidR="00AC5FAC" w:rsidRPr="00AC5FAC" w:rsidRDefault="00AC5FAC" w:rsidP="00AC5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FAC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</w:p>
    <w:p w:rsidR="00AC5FAC" w:rsidRPr="00AC5FAC" w:rsidRDefault="00AC5FAC" w:rsidP="00AC5F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C5FAC">
        <w:rPr>
          <w:rFonts w:ascii="Times New Roman" w:eastAsia="Calibri" w:hAnsi="Times New Roman" w:cs="Times New Roman"/>
          <w:sz w:val="24"/>
          <w:szCs w:val="24"/>
        </w:rPr>
        <w:t>Технологическое</w:t>
      </w:r>
      <w:proofErr w:type="gramEnd"/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 присоединения </w:t>
      </w:r>
      <w:proofErr w:type="spellStart"/>
      <w:r w:rsidRPr="00AC5FAC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 устройств Заявителя.</w:t>
      </w:r>
    </w:p>
    <w:p w:rsidR="00AC5FAC" w:rsidRPr="00AC5FAC" w:rsidRDefault="00AC5FAC" w:rsidP="00AC5FA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AC5FAC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ОБЩИЙ СРОК ОКАЗАНИЯ УСЛУГИ (ПРОЦЕССА):</w:t>
      </w:r>
    </w:p>
    <w:p w:rsidR="00AC5FAC" w:rsidRPr="00AC5FAC" w:rsidRDefault="00AC5FAC" w:rsidP="00AC5FAC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если от сетевой организации не требуется выполнение работ по строительству (реконструкции) 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электросетевого хозяйства от </w:t>
      </w:r>
      <w:r w:rsidRPr="00AC5FA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существующих объектов электросетевого хозяйства до присоединяемых </w:t>
      </w:r>
      <w:proofErr w:type="spellStart"/>
      <w:r w:rsidRPr="00AC5FAC">
        <w:rPr>
          <w:rFonts w:ascii="Times New Roman" w:eastAsia="Calibri" w:hAnsi="Times New Roman" w:cs="Times New Roman"/>
          <w:sz w:val="24"/>
          <w:szCs w:val="24"/>
        </w:rPr>
        <w:t>энергопринимающих</w:t>
      </w:r>
      <w:proofErr w:type="spellEnd"/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 устройств и (или) объектов электроэнергетики - </w:t>
      </w:r>
      <w:r w:rsidRPr="00AC5FAC">
        <w:rPr>
          <w:rFonts w:ascii="Times New Roman" w:eastAsia="Calibri" w:hAnsi="Times New Roman" w:cs="Times New Roman"/>
          <w:b/>
          <w:sz w:val="24"/>
          <w:szCs w:val="24"/>
        </w:rPr>
        <w:t>1 год с даты</w:t>
      </w:r>
      <w:proofErr w:type="gramEnd"/>
      <w:r w:rsidRPr="00AC5FAC">
        <w:rPr>
          <w:rFonts w:ascii="Times New Roman" w:eastAsia="Calibri" w:hAnsi="Times New Roman" w:cs="Times New Roman"/>
          <w:b/>
          <w:sz w:val="24"/>
          <w:szCs w:val="24"/>
        </w:rPr>
        <w:t xml:space="preserve"> заключения договора</w:t>
      </w:r>
      <w:r w:rsidRPr="00AC5F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C5FAC" w:rsidRPr="00AC5FAC" w:rsidRDefault="00AC5FAC" w:rsidP="00AC5FAC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в иных случаях – </w:t>
      </w:r>
      <w:r w:rsidRPr="00AC5FAC">
        <w:rPr>
          <w:rFonts w:ascii="Times New Roman" w:eastAsia="Calibri" w:hAnsi="Times New Roman" w:cs="Times New Roman"/>
          <w:b/>
          <w:sz w:val="24"/>
          <w:szCs w:val="24"/>
        </w:rPr>
        <w:t xml:space="preserve">2 года </w:t>
      </w:r>
      <w:proofErr w:type="gramStart"/>
      <w:r w:rsidRPr="00AC5FAC">
        <w:rPr>
          <w:rFonts w:ascii="Times New Roman" w:eastAsia="Calibri" w:hAnsi="Times New Roman" w:cs="Times New Roman"/>
          <w:b/>
          <w:sz w:val="24"/>
          <w:szCs w:val="24"/>
        </w:rPr>
        <w:t>с даты заключения</w:t>
      </w:r>
      <w:proofErr w:type="gramEnd"/>
      <w:r w:rsidRPr="00AC5FAC">
        <w:rPr>
          <w:rFonts w:ascii="Times New Roman" w:eastAsia="Calibri" w:hAnsi="Times New Roman" w:cs="Times New Roman"/>
          <w:b/>
          <w:sz w:val="24"/>
          <w:szCs w:val="24"/>
        </w:rPr>
        <w:t xml:space="preserve"> договора.</w:t>
      </w:r>
      <w:r w:rsidRPr="00AC5FAC">
        <w:rPr>
          <w:rFonts w:ascii="Times New Roman" w:eastAsia="Calibri" w:hAnsi="Times New Roman" w:cs="Times New Roman"/>
          <w:sz w:val="24"/>
          <w:szCs w:val="24"/>
        </w:rPr>
        <w:t xml:space="preserve"> Иные сроки (но не более 4 лет) могут быть установлены по обращению заявителя.</w:t>
      </w:r>
    </w:p>
    <w:p w:rsidR="00AC5FAC" w:rsidRPr="00AC5FAC" w:rsidRDefault="00AC5FAC" w:rsidP="00AC5FAC">
      <w:pPr>
        <w:spacing w:after="6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  <w:r w:rsidRPr="00AC5FAC"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1"/>
        <w:tblW w:w="5000" w:type="pct"/>
        <w:tblInd w:w="0" w:type="dxa"/>
        <w:tblLook w:val="00A0" w:firstRow="1" w:lastRow="0" w:firstColumn="1" w:lastColumn="0" w:noHBand="0" w:noVBand="0"/>
      </w:tblPr>
      <w:tblGrid>
        <w:gridCol w:w="432"/>
        <w:gridCol w:w="1897"/>
        <w:gridCol w:w="1850"/>
        <w:gridCol w:w="2490"/>
        <w:gridCol w:w="2077"/>
        <w:gridCol w:w="1749"/>
        <w:gridCol w:w="1850"/>
        <w:gridCol w:w="2158"/>
      </w:tblGrid>
      <w:tr w:rsidR="00AC5FAC" w:rsidRPr="00AC5FAC" w:rsidTr="00AC5F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" w:type="pct"/>
            <w:tcBorders>
              <w:top w:val="single" w:sz="8" w:space="0" w:color="4F81BD" w:themeColor="accent1"/>
              <w:left w:val="single" w:sz="8" w:space="0" w:color="4F81BD" w:themeColor="accent1"/>
              <w:bottom w:val="double" w:sz="4" w:space="0" w:color="4F81BD" w:themeColor="accent1"/>
              <w:right w:val="nil"/>
            </w:tcBorders>
            <w:hideMark/>
          </w:tcPr>
          <w:p w:rsidR="00AC5FAC" w:rsidRPr="00AC5FAC" w:rsidRDefault="00AC5FAC" w:rsidP="00AC5F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AC5FAC" w:rsidRPr="00AC5FAC" w:rsidRDefault="00AC5FAC" w:rsidP="00AC5F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638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AC5FAC" w:rsidRPr="00AC5FAC" w:rsidRDefault="00AC5FAC" w:rsidP="00AC5F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AC5FAC" w:rsidRPr="00AC5FAC" w:rsidRDefault="00AC5FAC" w:rsidP="00AC5F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16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AC5FAC" w:rsidRPr="00AC5FAC" w:rsidRDefault="00AC5FAC" w:rsidP="00AC5F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AC5FAC" w:rsidRPr="00AC5FAC" w:rsidRDefault="00AC5FAC" w:rsidP="00AC5F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(бизнес-роль)</w:t>
            </w:r>
          </w:p>
        </w:tc>
        <w:tc>
          <w:tcPr>
            <w:tcW w:w="638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  <w:hideMark/>
          </w:tcPr>
          <w:p w:rsidR="00AC5FAC" w:rsidRPr="00AC5FAC" w:rsidRDefault="00AC5FAC" w:rsidP="00AC5F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tcBorders>
              <w:left w:val="single" w:sz="4" w:space="0" w:color="FFFFFF" w:themeColor="background1"/>
              <w:bottom w:val="double" w:sz="4" w:space="0" w:color="4F81BD" w:themeColor="accent1"/>
            </w:tcBorders>
            <w:hideMark/>
          </w:tcPr>
          <w:p w:rsidR="00AC5FAC" w:rsidRPr="00AC5FAC" w:rsidRDefault="00AC5FAC" w:rsidP="00AC5F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Ссылка на нормативно правовой акт</w:t>
            </w:r>
          </w:p>
        </w:tc>
      </w:tr>
      <w:tr w:rsidR="00AC5FAC" w:rsidRPr="00AC5FAC" w:rsidTr="00AC5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" w:type="pct"/>
            <w:vMerge w:val="restart"/>
            <w:tcBorders>
              <w:top w:val="double" w:sz="4" w:space="0" w:color="4F81BD" w:themeColor="accent1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contextualSpacing/>
              <w:jc w:val="both"/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  <w:vMerge w:val="restart"/>
            <w:tcBorders>
              <w:top w:val="double" w:sz="4" w:space="0" w:color="4F81BD" w:themeColor="accent1"/>
              <w:bottom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Подача заявки на технологическое присоединение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double" w:sz="4" w:space="0" w:color="4F81BD" w:themeColor="accent1"/>
              <w:left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tcBorders>
              <w:top w:val="double" w:sz="4" w:space="0" w:color="4F81BD" w:themeColor="accent1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1.1.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Заявитель подает заявку на технологическое присоединение;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tcBorders>
              <w:top w:val="double" w:sz="4" w:space="0" w:color="4F81BD" w:themeColor="accent1"/>
              <w:left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Очное обращение заявителя с заявкой в офис обслуживания потребителей;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 электронном виде через личный кабинет клиента АО «Чукотэнерго»;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Почтой РФ;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Письменная форма проекта договора об осуществлении технологического 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присоединения, подписанного со стороны 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Управление транспорта, учета и реализации электрической / тепловой энергии </w:t>
            </w:r>
            <w:proofErr w:type="spellStart"/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етевой</w:t>
            </w:r>
            <w:proofErr w:type="spellEnd"/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организации, выдаются в офисе обслуживания потребителей, или направляются способом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>, позволяющим подтвердить факт получения.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В случае выбора заявителем способа обмена документами в электронной форме, документы, подписанные усиленной квалифицированной электронной подписью, размещаются в </w:t>
            </w: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>личном кабинете клиента в электронной форме.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tcBorders>
              <w:top w:val="double" w:sz="4" w:space="0" w:color="4F81BD" w:themeColor="accent1"/>
            </w:tcBorders>
            <w:hideMark/>
          </w:tcPr>
          <w:p w:rsidR="00AC5FAC" w:rsidRPr="00AC5FAC" w:rsidRDefault="00AC5FAC" w:rsidP="00AC5FAC">
            <w:pPr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Заявитель</w:t>
            </w:r>
          </w:p>
        </w:tc>
        <w:tc>
          <w:tcPr>
            <w:tcW w:w="638" w:type="pct"/>
            <w:tcBorders>
              <w:top w:val="double" w:sz="4" w:space="0" w:color="4F81BD" w:themeColor="accent1"/>
              <w:left w:val="nil"/>
              <w:right w:val="nil"/>
            </w:tcBorders>
          </w:tcPr>
          <w:p w:rsidR="00AC5FAC" w:rsidRPr="00AC5FAC" w:rsidRDefault="00AC5FAC" w:rsidP="00AC5FAC">
            <w:pPr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tcBorders>
              <w:top w:val="double" w:sz="4" w:space="0" w:color="4F81BD" w:themeColor="accent1"/>
            </w:tcBorders>
            <w:hideMark/>
          </w:tcPr>
          <w:p w:rsidR="00AC5FAC" w:rsidRPr="00AC5FAC" w:rsidRDefault="00AC5FAC" w:rsidP="00AC5FAC">
            <w:pPr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п. 7 (а) 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  <w:r w:rsidRPr="00AC5FAC">
              <w:rPr>
                <w:sz w:val="24"/>
                <w:szCs w:val="24"/>
                <w:vertAlign w:val="superscript"/>
              </w:rPr>
              <w:footnoteReference w:id="1"/>
            </w:r>
            <w:r w:rsidRPr="00AC5FA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C5FAC" w:rsidRPr="00AC5FAC" w:rsidTr="00AC5FAC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double" w:sz="4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double" w:sz="4" w:space="0" w:color="4F81BD" w:themeColor="accent1"/>
              <w:bottom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заявки на соответствие требованиям пунктов 9 и 10 Правил технологического присоединения.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1.2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При отсутствии сведений и документов,  установленных законодательством, направляет в адрес заявителя уведомление о недостающих сведениях и/или документах к заявке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Уведомление в письменной форме направляется способом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>, позволяющим подтвердить факт получения, или выдача заявителю в офисе обслуживания потребителей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рабочих дня после получения заявки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 не предоставления заявителем недостающих документов и сведений в течение 20 рабочих дней, поданная заявка аннулируется с уведомлением заявителя в течение 3 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рабочих дней со дня принятия решения.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15 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C5FAC" w:rsidRPr="00AC5FAC" w:rsidTr="00AC5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" w:type="pct"/>
            <w:tcBorders>
              <w:right w:val="nil"/>
            </w:tcBorders>
          </w:tcPr>
          <w:p w:rsidR="00AC5FAC" w:rsidRPr="00AC5FAC" w:rsidRDefault="00AC5FAC" w:rsidP="00AC5FAC">
            <w:pPr>
              <w:contextualSpacing/>
              <w:jc w:val="both"/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/>
                <w:sz w:val="24"/>
                <w:szCs w:val="24"/>
                <w:lang w:eastAsia="ru-RU"/>
              </w:rPr>
              <w:t xml:space="preserve">1.3. </w:t>
            </w:r>
            <w:r w:rsidRPr="00AC5FA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Направление сформированных технических условий на согласование или переработку.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C5F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Предпроектное</w:t>
            </w:r>
            <w:proofErr w:type="spellEnd"/>
            <w:r w:rsidRPr="00AC5F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обследование, разработка ведомости объемов работ, материалов,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548DD4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Разработка ПСД</w:t>
            </w:r>
          </w:p>
        </w:tc>
        <w:tc>
          <w:tcPr>
            <w:tcW w:w="716" w:type="pct"/>
            <w:tcBorders>
              <w:left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left="34" w:right="-13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Главный инженер филиала АО «Чукотэнерго»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left="34" w:right="-13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left="34" w:right="-13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по стратегическому развитию и инвестициям</w:t>
            </w:r>
          </w:p>
        </w:tc>
        <w:tc>
          <w:tcPr>
            <w:tcW w:w="638" w:type="pct"/>
            <w:tcBorders>
              <w:left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left="34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позднее 5 рабочих дней со дня поступления документов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AC" w:rsidRPr="00AC5FAC" w:rsidTr="00AC5FAC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" w:type="pct"/>
            <w:vMerge w:val="restart"/>
            <w:tcBorders>
              <w:top w:val="nil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</w:tcPr>
          <w:p w:rsidR="00AC5FAC" w:rsidRPr="00AC5FAC" w:rsidRDefault="00AC5FAC" w:rsidP="00AC5FAC">
            <w:pPr>
              <w:contextualSpacing/>
              <w:jc w:val="both"/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  <w:t>2</w:t>
            </w:r>
          </w:p>
          <w:p w:rsidR="00AC5FAC" w:rsidRPr="00AC5FAC" w:rsidRDefault="00AC5FAC" w:rsidP="00AC5FAC">
            <w:pPr>
              <w:contextualSpacing/>
              <w:jc w:val="both"/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  <w:vMerge w:val="restart"/>
            <w:tcBorders>
              <w:top w:val="nil"/>
              <w:bottom w:val="single" w:sz="8" w:space="0" w:color="4F81BD" w:themeColor="accent1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tcBorders>
              <w:top w:val="nil"/>
              <w:bottom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2.1. 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Направление/выдача проекта договора об осуществлении технологического присоединения с  техническими условиями (как неотъемлемое приложение к договору) в 2-х экземплярах.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Письменная форма проекта договора, подписанного </w:t>
            </w:r>
            <w:proofErr w:type="gramStart"/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Управление транспорта, учета и реализации электрической / тепловой энергии организации, направляется способом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 xml:space="preserve">, позволяющим </w:t>
            </w: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подтвердить факт получения проекта договора, или выдача заявителю в 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офисе обслуживания потребителей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 xml:space="preserve">, филиале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Управление транспорта, учета и реализации электрической / тепловой энергии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 рабочих дней со дня получения заявки; 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 отсутствия сведений (документов) 20 рабочих дней </w:t>
            </w:r>
            <w:proofErr w:type="gramStart"/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получения</w:t>
            </w:r>
            <w:proofErr w:type="gramEnd"/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недостающих сведений.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п. 15 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C5FAC" w:rsidRPr="00AC5FAC" w:rsidTr="00AC5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-Направление/выдача проекта договора на оказание услуг по передаче электрической энергии</w:t>
            </w:r>
          </w:p>
        </w:tc>
        <w:tc>
          <w:tcPr>
            <w:tcW w:w="716" w:type="pct"/>
            <w:tcBorders>
              <w:left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Письменная форма проекта договора, при условии, если заявителем в заявке в качестве вида договора, обеспечивающего поставку электрической энергии (мощности)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38" w:type="pct"/>
            <w:tcBorders>
              <w:left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30 календарных дней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п. 15 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C5FAC" w:rsidRPr="00AC5FAC" w:rsidTr="00AC5FAC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single" w:sz="8" w:space="0" w:color="4F81BD" w:themeColor="accent1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необходимости согласования технических условий с системным оператором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2.2. 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Направление заявителю уведомления об увеличении срока в связи с согласованием технических условий 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 системным оператором (при присоединении объектов, максимальная мощность которых превышает 5 МВт или увеличивается на 5 МВт и выше)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Уведомление в письменной форме направляется способом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 xml:space="preserve">, позволяющим подтвердить факт </w:t>
            </w: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>получения,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Управление транспорта, учета и реализации электрической / тепловой энергии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п. 15, 21 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</w:t>
            </w: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>энергии</w:t>
            </w:r>
          </w:p>
        </w:tc>
      </w:tr>
      <w:tr w:rsidR="00AC5FAC" w:rsidRPr="00AC5FAC" w:rsidTr="00AC5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vMerge w:val="restart"/>
            <w:tcBorders>
              <w:left w:val="nil"/>
              <w:bottom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2.3.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Направление/выдача проекта договора об осуществлении технологического присоединения с  техническими условиями (как неотъемлемое приложение к договору) в 2-х экземплярах.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tcBorders>
              <w:left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форма проекта договора, подписанного со стороны Управление транспорта, учета и реализации электрической / тепловой энергии, направляется способом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 xml:space="preserve">, позволяющим подтвердить факт получения проекта договора, или выдача заявителю в 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офисе 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обслуживания потребителей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 xml:space="preserve">, филиале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транспорта, учета и реализации электрической / тепловой энергии</w:t>
            </w:r>
          </w:p>
        </w:tc>
        <w:tc>
          <w:tcPr>
            <w:tcW w:w="638" w:type="pct"/>
            <w:tcBorders>
              <w:left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Не позднее 3 рабочих дней со дня согласования технических условий с системным оператором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п. 15 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C5FAC" w:rsidRPr="00AC5FAC" w:rsidTr="00AC5FAC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single" w:sz="8" w:space="0" w:color="4F81BD" w:themeColor="accent1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 w:themeColor="accent1"/>
              <w:left w:val="nil"/>
              <w:bottom w:val="nil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Направление/выдача проекта договора на оказание услуг по передаче электрической энергии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Письменная форма проекта договора, при условии, если заявителем в заявке в качестве вида договора, обеспечивающего поставку электрической энергии (мощности)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течение 30 календарных дней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п. 15 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C5FAC" w:rsidRPr="00AC5FAC" w:rsidTr="00AC5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tcBorders>
              <w:left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п. 15 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C5FAC" w:rsidRPr="00AC5FAC" w:rsidTr="00AC5FAC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single" w:sz="8" w:space="0" w:color="4F81BD" w:themeColor="accent1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 xml:space="preserve">2.5 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Направление (выдача при очном посещении офиса обслуживания) откорректированного 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проекта договора об осуществлении технологического присоединения с  техническими условиями вследствие получения от заявителя мотивированного отказа от подписания проекта договора.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Письменная форма проекта договора, подписанного со стороны 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Управление транспорта, учета и реализации электрической / тепловой энергии, направляется способом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>, позволяющим подтвердить факт получения, или выдача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Управление транспорта, учета и реализации электрической 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/ тепловой энергии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10 рабочих дней </w:t>
            </w:r>
            <w:proofErr w:type="gramStart"/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получения от заявителя мотивированно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 отказа от подписания проекта договора с предложением об изменении</w:t>
            </w:r>
            <w:proofErr w:type="gramEnd"/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проекта договора и приведение его в соответствие с Правилами технологического присоединения.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15 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</w:t>
            </w: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потребителей электрической энергии</w:t>
            </w:r>
          </w:p>
        </w:tc>
      </w:tr>
      <w:tr w:rsidR="00AC5FAC" w:rsidRPr="00AC5FAC" w:rsidTr="00AC5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tcW w:w="716" w:type="pct"/>
            <w:tcBorders>
              <w:left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AC" w:rsidRPr="00AC5FAC" w:rsidTr="00AC5FAC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" w:type="pct"/>
            <w:vMerge w:val="restart"/>
            <w:tcBorders>
              <w:top w:val="nil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hideMark/>
          </w:tcPr>
          <w:p w:rsidR="00AC5FAC" w:rsidRPr="00AC5FAC" w:rsidRDefault="00AC5FAC" w:rsidP="00AC5FAC">
            <w:pPr>
              <w:contextualSpacing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  <w:vMerge w:val="restart"/>
            <w:tcBorders>
              <w:top w:val="nil"/>
              <w:bottom w:val="single" w:sz="8" w:space="0" w:color="4F81BD" w:themeColor="accent1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638" w:type="pct"/>
            <w:vMerge w:val="restart"/>
            <w:tcBorders>
              <w:top w:val="nil"/>
              <w:left w:val="nil"/>
              <w:bottom w:val="single" w:sz="8" w:space="0" w:color="4F81BD" w:themeColor="accent1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Заключенный договор об осуществлении технологического присоединения (без необходимости согласования технических условий с системным 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оператором)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3.1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Оплата услуг по договору об осуществлении технологического присоединения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vMerge w:val="restart"/>
            <w:tcBorders>
              <w:top w:val="nil"/>
              <w:bottom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AC" w:rsidRPr="00AC5FAC" w:rsidTr="00AC5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3.2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>Выполнение мероприятий, предусмотренных договором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СМР, строительный контроль, приемка 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работ, подготовка исполнительной документации.</w:t>
            </w:r>
          </w:p>
        </w:tc>
        <w:tc>
          <w:tcPr>
            <w:tcW w:w="716" w:type="pct"/>
            <w:tcBorders>
              <w:left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Управления по стратегическому развитию и инвестициям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>инженер филиала АО «Чукотэнерго»</w:t>
            </w:r>
          </w:p>
        </w:tc>
        <w:tc>
          <w:tcPr>
            <w:tcW w:w="638" w:type="pct"/>
            <w:tcBorders>
              <w:left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AC" w:rsidRPr="00AC5FAC" w:rsidTr="00AC5FAC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single" w:sz="8" w:space="0" w:color="4F81BD" w:themeColor="accent1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3.3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>Выполнение заявителем мероприятий, предусмотренных договором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bottom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5FAC" w:rsidRPr="00AC5FAC" w:rsidTr="00AC5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3.4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>Направление заявителем уведомления о выполнении технических условий с приложением пакета необходимых документов</w:t>
            </w:r>
          </w:p>
        </w:tc>
        <w:tc>
          <w:tcPr>
            <w:tcW w:w="716" w:type="pct"/>
            <w:tcBorders>
              <w:left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Письменное уведомление о выполнении технических условий с приложением документов, предусмотренных пунктом 85 Правил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638" w:type="pct"/>
            <w:tcBorders>
              <w:left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После выполнения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п. 85, 86, 91-102 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C5FAC" w:rsidRPr="00AC5FAC" w:rsidTr="00AC5FAC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" w:type="pct"/>
            <w:tcBorders>
              <w:top w:val="nil"/>
              <w:left w:val="single" w:sz="8" w:space="0" w:color="4F81BD" w:themeColor="accent1"/>
              <w:bottom w:val="nil"/>
              <w:right w:val="nil"/>
            </w:tcBorders>
          </w:tcPr>
          <w:p w:rsidR="00AC5FAC" w:rsidRPr="00AC5FAC" w:rsidRDefault="00AC5FAC" w:rsidP="00AC5FAC">
            <w:pPr>
              <w:contextualSpacing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  <w:tcBorders>
              <w:top w:val="nil"/>
              <w:bottom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согласовании технических условий с системным оператором (приложение к 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заключенному договору об осуществлении технологического присоединения)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3.5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.Направление 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в адрес субъекта оперативно-диспетчерского управления копий уведомления о готовности заявителя </w:t>
            </w: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>к проверке выполнения технических условий и приложенных к нему документов, поступивших от заявителя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Копии уведомления заявителя с необходимым пакетом документов 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способом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>позволяющим подтвердить факт 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>Первый Заместитель генерального директора - главный инженер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В течение 2 дней со дня получения от заявителя уведомления о выполнении технических </w:t>
            </w: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>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п. 91-102 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</w:t>
            </w: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>энергии</w:t>
            </w:r>
          </w:p>
        </w:tc>
      </w:tr>
      <w:tr w:rsidR="00AC5FAC" w:rsidRPr="00AC5FAC" w:rsidTr="00AC5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" w:type="pct"/>
            <w:vMerge w:val="restart"/>
            <w:tcBorders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contextualSpacing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  <w:vMerge w:val="restart"/>
            <w:tcBorders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Проверка выполнения технических условий</w:t>
            </w:r>
          </w:p>
        </w:tc>
        <w:tc>
          <w:tcPr>
            <w:tcW w:w="638" w:type="pct"/>
            <w:tcBorders>
              <w:left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Направление заявителем уведомления о выполнении технических условий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4.1.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 xml:space="preserve"> - Проверка выполнения технических условий. 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- Допуск к эксплуатации установленного прибора учета электрической энергии.</w:t>
            </w:r>
          </w:p>
        </w:tc>
        <w:tc>
          <w:tcPr>
            <w:tcW w:w="716" w:type="pct"/>
            <w:tcBorders>
              <w:left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Главный инженер филиала АО «Чукотэнерго»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38" w:type="pct"/>
            <w:tcBorders>
              <w:left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В течение 10 дней </w:t>
            </w:r>
            <w:proofErr w:type="gramStart"/>
            <w:r w:rsidRPr="00AC5FAC">
              <w:rPr>
                <w:rFonts w:ascii="Times New Roman" w:hAnsi="Times New Roman"/>
                <w:sz w:val="24"/>
                <w:szCs w:val="24"/>
              </w:rPr>
              <w:t>со дня получения от заявителя уведомления о выполнении технических условий с необходимыми документами / в течение</w:t>
            </w:r>
            <w:proofErr w:type="gram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25 дней при необходимости участия представителя субъекта оперативно-диспетчерского управления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AC5FAC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>, п. 84-90, 102</w:t>
            </w:r>
            <w:r w:rsidRPr="00AC5FAC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п. 102 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C5FAC" w:rsidRPr="00AC5FAC" w:rsidTr="00AC5FAC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При выполнении требований технических условий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Письменная форма после проведения проверки выполнения технических условий: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- Акт о выполнении технических условий.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- Акт допуска прибора учета электрической энергии к эксплуатации.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- договор, обеспечивающий поставку электрической энергии (мощности)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При невыполнении требований технических условий в письменной форме </w:t>
            </w: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>уведомляем об этом заявителя, с представлением замечаний, выявленных в ходе проверки. При этом</w:t>
            </w:r>
            <w:proofErr w:type="gramStart"/>
            <w:r w:rsidRPr="00AC5FAC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акт о выполнении технических условий подписывается после устранения заявителем всех замечаний.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транспорта, учета и реализации электрической / тепловой энергии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Акт о выполнении технических условий выдается в течение 3 дней после проведения проверки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AC5FAC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 xml:space="preserve">, п. 84-89 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C5FAC" w:rsidRPr="00AC5FAC" w:rsidTr="00AC5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В случае невыполнения заявителем требований технических условий.  Получение от заявителя уведомления об устранении замечаний по выполнению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4.2.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 xml:space="preserve"> Повторный осмотр электроустановки заявителя</w:t>
            </w:r>
          </w:p>
        </w:tc>
        <w:tc>
          <w:tcPr>
            <w:tcW w:w="716" w:type="pct"/>
            <w:tcBorders>
              <w:left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Главный инженер филиала АО «Чукотэнерго»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38" w:type="pct"/>
            <w:tcBorders>
              <w:left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Не позднее 3 рабочих дней после получения </w:t>
            </w:r>
            <w:proofErr w:type="gramStart"/>
            <w:r w:rsidRPr="00AC5FAC">
              <w:rPr>
                <w:rFonts w:ascii="Times New Roman" w:hAnsi="Times New Roman"/>
                <w:sz w:val="24"/>
                <w:szCs w:val="24"/>
              </w:rPr>
              <w:t>от заявителя уведомления об устранении замечаний с приложением информации о принятых мерах по их устранению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п. 89, 97, 98 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C5FAC" w:rsidRPr="00AC5FAC" w:rsidTr="00AC5FAC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В случае устранения выявленных замечаний по выполнению заявителем требований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4.3.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 xml:space="preserve"> Выдача заявителю: 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- Акт о выполнении технических условий в 2 экземплярах;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- договор, обеспечивающий поставку электрической энергии (мощности)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Письменная форма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Управление транспорта, учета и реализации электрической / тепловой энергии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В течение 3 дней после проведения проверки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п. 88 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C5FAC" w:rsidRPr="00AC5FAC" w:rsidTr="00AC5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" w:type="pct"/>
            <w:vMerge w:val="restart"/>
            <w:tcBorders>
              <w:bottom w:val="nil"/>
              <w:right w:val="nil"/>
            </w:tcBorders>
          </w:tcPr>
          <w:p w:rsidR="00AC5FAC" w:rsidRPr="00AC5FAC" w:rsidRDefault="00AC5FAC" w:rsidP="00AC5FAC">
            <w:pPr>
              <w:contextualSpacing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bottom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Если представители субъекта оперативно-диспетчерского управления участвовали в осмотре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4.4.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> Согласование акта о выполнении технических условий в 3 экземплярах с субъектом оперативно-диспетчерского управления</w:t>
            </w:r>
          </w:p>
        </w:tc>
        <w:tc>
          <w:tcPr>
            <w:tcW w:w="716" w:type="pct"/>
            <w:tcBorders>
              <w:left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3 экземпляра акта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Первый Заместитель генерального директора - главный инженер</w:t>
            </w:r>
          </w:p>
        </w:tc>
        <w:tc>
          <w:tcPr>
            <w:tcW w:w="638" w:type="pct"/>
            <w:tcBorders>
              <w:left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п. 99 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C5FAC" w:rsidRPr="00AC5FAC" w:rsidTr="00AC5FAC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nil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4.5.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 xml:space="preserve"> Получение заявителем разрешения органа федерального государственного энергетического надзора на допуск к эксплуатации объектов и прилагаемые к нему документы 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Письменное уведомление  способом, позволяющим установить дату отправки и получения уведомления</w:t>
            </w:r>
          </w:p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C5FA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7 (г) 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C5FAC" w:rsidRPr="00AC5FAC" w:rsidTr="00AC5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" w:type="pct"/>
            <w:vMerge w:val="restart"/>
            <w:tcBorders>
              <w:right w:val="nil"/>
            </w:tcBorders>
            <w:hideMark/>
          </w:tcPr>
          <w:p w:rsidR="00AC5FAC" w:rsidRPr="00AC5FAC" w:rsidRDefault="00AC5FAC" w:rsidP="00AC5FAC">
            <w:pPr>
              <w:contextualSpacing/>
              <w:jc w:val="both"/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  <w:r w:rsidRPr="00AC5FAC"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  <w:vMerge w:val="restar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Присоединение объектов заявителя к электрическим сетям</w:t>
            </w:r>
          </w:p>
        </w:tc>
        <w:tc>
          <w:tcPr>
            <w:tcW w:w="638" w:type="pct"/>
            <w:vMerge w:val="restart"/>
            <w:tcBorders>
              <w:left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5.1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> Фактическое присоединение объектов заявителя и включение коммутационного аппарата (фиксация коммутационного аппарата в положении "включено").</w:t>
            </w:r>
          </w:p>
        </w:tc>
        <w:tc>
          <w:tcPr>
            <w:tcW w:w="716" w:type="pct"/>
            <w:tcBorders>
              <w:left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Главный инженер филиала АО «Чукотэнерго»</w:t>
            </w:r>
          </w:p>
        </w:tc>
        <w:tc>
          <w:tcPr>
            <w:tcW w:w="638" w:type="pct"/>
            <w:tcBorders>
              <w:left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В соответствии с условиями договора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п. 7 (д) 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C5FAC" w:rsidRPr="00AC5FAC" w:rsidTr="00AC5FAC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8" w:space="0" w:color="4F81BD" w:themeColor="accent1"/>
              <w:bottom w:val="single" w:sz="8" w:space="0" w:color="4F81BD" w:themeColor="accent1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4F81BD" w:themeColor="accent1"/>
              <w:left w:val="nil"/>
              <w:bottom w:val="single" w:sz="8" w:space="0" w:color="4F81BD" w:themeColor="accent1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eastAsia="Times New Roman" w:hAnsi="Times New Roman"/>
                <w:b/>
                <w:bCs/>
                <w:color w:val="548DD4" w:themeColor="text2" w:themeTint="99"/>
                <w:sz w:val="24"/>
                <w:szCs w:val="24"/>
                <w:lang w:eastAsia="ru-RU"/>
              </w:rPr>
              <w:t>5.2.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Составление и направление (выдача) заявителю документов о  технологическом присоединении (акт об осуществлении технологического присоединения, акт согласования технологической и (или) аварийной брони (при необходимости))</w:t>
            </w: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Подписанные со стороны Управление транспорта, учета и реализации электрической / тепловой энергии Акты об осуществлении технологического присоединения, акт согласования технологической и (или) аварийной брони (при необходимости) в письменной форме </w:t>
            </w: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направляются </w:t>
            </w:r>
            <w:r w:rsidRPr="00AC5F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способом</w:t>
            </w:r>
            <w:r w:rsidRPr="00AC5FAC">
              <w:rPr>
                <w:rFonts w:ascii="Times New Roman" w:hAnsi="Times New Roman"/>
                <w:sz w:val="24"/>
                <w:szCs w:val="24"/>
              </w:rPr>
              <w:t>, позволяющим подтвердить факт получения, или выдаются заявителю в офисе обслуживания потребителей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транспорта, учета и реализации электрической / тепловой энергии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>не позднее 3 рабочих дней после фактического присоединения объектов заявителя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  <w:tcBorders>
              <w:top w:val="nil"/>
              <w:bottom w:val="nil"/>
            </w:tcBorders>
            <w:hideMark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5FAC">
              <w:rPr>
                <w:rFonts w:ascii="Times New Roman" w:hAnsi="Times New Roman"/>
                <w:sz w:val="24"/>
                <w:szCs w:val="24"/>
              </w:rPr>
              <w:t xml:space="preserve">п. 19 Правил технологического присоединения </w:t>
            </w:r>
            <w:proofErr w:type="spellStart"/>
            <w:r w:rsidRPr="00AC5FAC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AC5FAC">
              <w:rPr>
                <w:rFonts w:ascii="Times New Roman" w:hAnsi="Times New Roman"/>
                <w:sz w:val="24"/>
                <w:szCs w:val="24"/>
              </w:rPr>
              <w:t xml:space="preserve"> устройств потребителей электрической энергии</w:t>
            </w:r>
          </w:p>
        </w:tc>
      </w:tr>
      <w:tr w:rsidR="00AC5FAC" w:rsidRPr="00AC5FAC" w:rsidTr="00AC5F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eastAsia="Times New Roman" w:hAnsi="Times New Roman"/>
                <w:color w:val="548DD4" w:themeColor="text2" w:themeTint="99"/>
                <w:sz w:val="24"/>
                <w:szCs w:val="24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AC5FAC" w:rsidRPr="00AC5FAC" w:rsidRDefault="00AC5FAC" w:rsidP="00AC5F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nil"/>
              <w:right w:val="nil"/>
            </w:tcBorders>
            <w:vAlign w:val="center"/>
            <w:hideMark/>
          </w:tcPr>
          <w:p w:rsidR="00AC5FAC" w:rsidRPr="00AC5FAC" w:rsidRDefault="00AC5FAC" w:rsidP="00AC5F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8" w:type="pct"/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" w:type="pct"/>
            <w:tcBorders>
              <w:left w:val="nil"/>
              <w:right w:val="nil"/>
            </w:tcBorders>
          </w:tcPr>
          <w:p w:rsidR="00AC5FAC" w:rsidRPr="00AC5FAC" w:rsidRDefault="00AC5FAC" w:rsidP="00AC5FAC">
            <w:pPr>
              <w:autoSpaceDE w:val="0"/>
              <w:autoSpaceDN w:val="0"/>
              <w:adjustRightInd w:val="0"/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03" w:type="pct"/>
          </w:tcPr>
          <w:p w:rsidR="00AC5FAC" w:rsidRPr="00AC5FAC" w:rsidRDefault="00AC5FAC" w:rsidP="00AC5FAC">
            <w:pPr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</w:tcPr>
          <w:p w:rsidR="00AC5FAC" w:rsidRPr="00AC5FAC" w:rsidRDefault="00AC5FAC" w:rsidP="00AC5FAC">
            <w:pPr>
              <w:ind w:firstLine="113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44" w:type="pct"/>
          </w:tcPr>
          <w:p w:rsidR="00AC5FAC" w:rsidRPr="00AC5FAC" w:rsidRDefault="00AC5FAC" w:rsidP="00AC5FAC">
            <w:pPr>
              <w:ind w:firstLine="11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5FAC" w:rsidRPr="00AC5FAC" w:rsidRDefault="00AC5FAC" w:rsidP="00AC5FAC">
      <w:pPr>
        <w:spacing w:after="60" w:line="240" w:lineRule="auto"/>
        <w:jc w:val="both"/>
        <w:outlineLvl w:val="0"/>
        <w:rPr>
          <w:rFonts w:ascii="Times New Roman" w:eastAsia="Calibri" w:hAnsi="Times New Roman" w:cs="Times New Roman"/>
          <w:b/>
          <w:color w:val="548DD4" w:themeColor="text2" w:themeTint="99"/>
          <w:sz w:val="24"/>
          <w:szCs w:val="24"/>
        </w:rPr>
      </w:pPr>
    </w:p>
    <w:p w:rsidR="00AC5FAC" w:rsidRPr="00AC5FAC" w:rsidRDefault="00AC5FAC" w:rsidP="00AC5FAC">
      <w:pPr>
        <w:spacing w:after="0"/>
        <w:rPr>
          <w:rFonts w:ascii="Calibri" w:eastAsia="Calibri" w:hAnsi="Calibri" w:cs="Times New Roman"/>
        </w:rPr>
        <w:sectPr w:rsidR="00AC5FAC" w:rsidRPr="00AC5FAC">
          <w:pgSz w:w="16838" w:h="11906" w:orient="landscape"/>
          <w:pgMar w:top="1134" w:right="850" w:bottom="1560" w:left="1701" w:header="720" w:footer="720" w:gutter="0"/>
          <w:cols w:space="720"/>
        </w:sectPr>
      </w:pPr>
      <w:r w:rsidRPr="00AC5FAC">
        <w:rPr>
          <w:rFonts w:ascii="Calibri" w:eastAsia="Calibri" w:hAnsi="Calibri" w:cs="Times New Roman"/>
        </w:rPr>
        <w:br w:type="page"/>
      </w:r>
    </w:p>
    <w:p w:rsidR="00AC5FAC" w:rsidRPr="00AC5FAC" w:rsidRDefault="00AC5FAC" w:rsidP="00AC5F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5FAC">
        <w:rPr>
          <w:rFonts w:ascii="Calibri" w:eastAsia="Calibri" w:hAnsi="Calibri" w:cs="Times New Roman"/>
        </w:rPr>
        <w:object w:dxaOrig="8475" w:dyaOrig="142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75pt;height:711.75pt" o:ole="">
            <v:imagedata r:id="rId10" o:title=""/>
          </v:shape>
          <o:OLEObject Type="Embed" ProgID="Visio.Drawing.15" ShapeID="_x0000_i1025" DrawAspect="Content" ObjectID="_1762620061" r:id="rId11"/>
        </w:object>
      </w:r>
    </w:p>
    <w:p w:rsidR="002815C2" w:rsidRPr="00AC5FAC" w:rsidRDefault="002815C2" w:rsidP="00AC5FAC">
      <w:bookmarkStart w:id="0" w:name="_GoBack"/>
      <w:bookmarkEnd w:id="0"/>
    </w:p>
    <w:sectPr w:rsidR="002815C2" w:rsidRPr="00AC5FAC" w:rsidSect="00982D8B">
      <w:pgSz w:w="11906" w:h="16838"/>
      <w:pgMar w:top="850" w:right="1560" w:bottom="170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3B9" w:rsidRDefault="002943B9" w:rsidP="00DC7CA8">
      <w:pPr>
        <w:spacing w:after="0" w:line="240" w:lineRule="auto"/>
      </w:pPr>
      <w:r>
        <w:separator/>
      </w:r>
    </w:p>
  </w:endnote>
  <w:endnote w:type="continuationSeparator" w:id="0">
    <w:p w:rsidR="002943B9" w:rsidRDefault="002943B9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3B9" w:rsidRDefault="002943B9" w:rsidP="00DC7CA8">
      <w:pPr>
        <w:spacing w:after="0" w:line="240" w:lineRule="auto"/>
      </w:pPr>
      <w:r>
        <w:separator/>
      </w:r>
    </w:p>
  </w:footnote>
  <w:footnote w:type="continuationSeparator" w:id="0">
    <w:p w:rsidR="002943B9" w:rsidRDefault="002943B9" w:rsidP="00DC7CA8">
      <w:pPr>
        <w:spacing w:after="0" w:line="240" w:lineRule="auto"/>
      </w:pPr>
      <w:r>
        <w:continuationSeparator/>
      </w:r>
    </w:p>
  </w:footnote>
  <w:footnote w:id="1">
    <w:p w:rsidR="00AC5FAC" w:rsidRDefault="00AC5FAC" w:rsidP="00AC5FAC">
      <w:pPr>
        <w:pStyle w:val="ac"/>
        <w:jc w:val="both"/>
        <w:rPr>
          <w:rFonts w:ascii="Calibri" w:hAnsi="Calibri"/>
        </w:rPr>
      </w:pPr>
      <w:r>
        <w:rPr>
          <w:rStyle w:val="ae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Правила технологического присоединения </w:t>
      </w:r>
      <w:proofErr w:type="spellStart"/>
      <w:r>
        <w:rPr>
          <w:rFonts w:ascii="Times New Roman" w:hAnsi="Times New Roman"/>
        </w:rPr>
        <w:t>энергопринимающих</w:t>
      </w:r>
      <w:proofErr w:type="spellEnd"/>
      <w:r>
        <w:rPr>
          <w:rFonts w:ascii="Times New Roman" w:hAnsi="Times New Roman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EC470AE"/>
    <w:multiLevelType w:val="hybridMultilevel"/>
    <w:tmpl w:val="23F00E6E"/>
    <w:lvl w:ilvl="0" w:tplc="D924DC2C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3"/>
  </w:num>
  <w:num w:numId="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00CC2"/>
    <w:rsid w:val="00022F24"/>
    <w:rsid w:val="0002340B"/>
    <w:rsid w:val="0002598C"/>
    <w:rsid w:val="00026177"/>
    <w:rsid w:val="00040C4F"/>
    <w:rsid w:val="00046247"/>
    <w:rsid w:val="0006044A"/>
    <w:rsid w:val="000653F9"/>
    <w:rsid w:val="0007146B"/>
    <w:rsid w:val="000825BA"/>
    <w:rsid w:val="0009016D"/>
    <w:rsid w:val="000C2731"/>
    <w:rsid w:val="000C3C93"/>
    <w:rsid w:val="000D0D64"/>
    <w:rsid w:val="000E0BA5"/>
    <w:rsid w:val="000E2EB8"/>
    <w:rsid w:val="000E4FC2"/>
    <w:rsid w:val="000E59C6"/>
    <w:rsid w:val="000E710C"/>
    <w:rsid w:val="00110D12"/>
    <w:rsid w:val="00131CE3"/>
    <w:rsid w:val="0014025C"/>
    <w:rsid w:val="00142EA5"/>
    <w:rsid w:val="001452AF"/>
    <w:rsid w:val="001533DF"/>
    <w:rsid w:val="00155145"/>
    <w:rsid w:val="00162045"/>
    <w:rsid w:val="00164660"/>
    <w:rsid w:val="00166D9F"/>
    <w:rsid w:val="0017243B"/>
    <w:rsid w:val="00173844"/>
    <w:rsid w:val="00182892"/>
    <w:rsid w:val="00186BAF"/>
    <w:rsid w:val="00187BF5"/>
    <w:rsid w:val="0019014D"/>
    <w:rsid w:val="00195358"/>
    <w:rsid w:val="001D45A0"/>
    <w:rsid w:val="001E76A6"/>
    <w:rsid w:val="001E7756"/>
    <w:rsid w:val="001F4982"/>
    <w:rsid w:val="00206CD3"/>
    <w:rsid w:val="00210F54"/>
    <w:rsid w:val="00226F77"/>
    <w:rsid w:val="0022778E"/>
    <w:rsid w:val="00230AE2"/>
    <w:rsid w:val="00231805"/>
    <w:rsid w:val="00233155"/>
    <w:rsid w:val="00237953"/>
    <w:rsid w:val="00242530"/>
    <w:rsid w:val="00251BEC"/>
    <w:rsid w:val="00276213"/>
    <w:rsid w:val="00277BFA"/>
    <w:rsid w:val="002815C2"/>
    <w:rsid w:val="002943B9"/>
    <w:rsid w:val="0029622E"/>
    <w:rsid w:val="002963F2"/>
    <w:rsid w:val="00297502"/>
    <w:rsid w:val="002978AF"/>
    <w:rsid w:val="002A16A3"/>
    <w:rsid w:val="002A3562"/>
    <w:rsid w:val="002A3BA1"/>
    <w:rsid w:val="002A4954"/>
    <w:rsid w:val="002A5552"/>
    <w:rsid w:val="002C24EC"/>
    <w:rsid w:val="002C3F37"/>
    <w:rsid w:val="002C56E2"/>
    <w:rsid w:val="002E5F89"/>
    <w:rsid w:val="00301A88"/>
    <w:rsid w:val="0030226E"/>
    <w:rsid w:val="0030609D"/>
    <w:rsid w:val="003142FA"/>
    <w:rsid w:val="0032200A"/>
    <w:rsid w:val="0032230E"/>
    <w:rsid w:val="00326913"/>
    <w:rsid w:val="00341BC5"/>
    <w:rsid w:val="00347A15"/>
    <w:rsid w:val="00366A29"/>
    <w:rsid w:val="00371019"/>
    <w:rsid w:val="0037161F"/>
    <w:rsid w:val="00371D5A"/>
    <w:rsid w:val="00374A3A"/>
    <w:rsid w:val="003A6292"/>
    <w:rsid w:val="003B555E"/>
    <w:rsid w:val="003B6F93"/>
    <w:rsid w:val="003C556E"/>
    <w:rsid w:val="003D4D3D"/>
    <w:rsid w:val="003D74D7"/>
    <w:rsid w:val="003F39CA"/>
    <w:rsid w:val="003F4539"/>
    <w:rsid w:val="003F5301"/>
    <w:rsid w:val="00401788"/>
    <w:rsid w:val="0040345C"/>
    <w:rsid w:val="00405B1D"/>
    <w:rsid w:val="00405E12"/>
    <w:rsid w:val="0041124A"/>
    <w:rsid w:val="00420452"/>
    <w:rsid w:val="00426B80"/>
    <w:rsid w:val="00426DA0"/>
    <w:rsid w:val="00430EEA"/>
    <w:rsid w:val="004319A9"/>
    <w:rsid w:val="00442712"/>
    <w:rsid w:val="00443775"/>
    <w:rsid w:val="00465B9D"/>
    <w:rsid w:val="00466518"/>
    <w:rsid w:val="00472531"/>
    <w:rsid w:val="004909C6"/>
    <w:rsid w:val="00497AD3"/>
    <w:rsid w:val="004A4D60"/>
    <w:rsid w:val="004B0BFE"/>
    <w:rsid w:val="004B4269"/>
    <w:rsid w:val="004B75E4"/>
    <w:rsid w:val="004D2FC8"/>
    <w:rsid w:val="004F68F4"/>
    <w:rsid w:val="005014BE"/>
    <w:rsid w:val="0051045A"/>
    <w:rsid w:val="0051352D"/>
    <w:rsid w:val="00524428"/>
    <w:rsid w:val="00534E9A"/>
    <w:rsid w:val="0054414B"/>
    <w:rsid w:val="00557796"/>
    <w:rsid w:val="0058149F"/>
    <w:rsid w:val="00581794"/>
    <w:rsid w:val="00584BD8"/>
    <w:rsid w:val="005A07E0"/>
    <w:rsid w:val="005B5699"/>
    <w:rsid w:val="005B627E"/>
    <w:rsid w:val="005C22A7"/>
    <w:rsid w:val="005D4429"/>
    <w:rsid w:val="005E4974"/>
    <w:rsid w:val="005E5AAE"/>
    <w:rsid w:val="005E615E"/>
    <w:rsid w:val="005F2F3E"/>
    <w:rsid w:val="005F7254"/>
    <w:rsid w:val="006003D4"/>
    <w:rsid w:val="00603CF2"/>
    <w:rsid w:val="006047AA"/>
    <w:rsid w:val="00605FA8"/>
    <w:rsid w:val="00610B7F"/>
    <w:rsid w:val="00614532"/>
    <w:rsid w:val="00620A3E"/>
    <w:rsid w:val="00620C3D"/>
    <w:rsid w:val="00640439"/>
    <w:rsid w:val="00650FC9"/>
    <w:rsid w:val="0065173C"/>
    <w:rsid w:val="00651AC6"/>
    <w:rsid w:val="00664ED5"/>
    <w:rsid w:val="00666E7C"/>
    <w:rsid w:val="00667BBD"/>
    <w:rsid w:val="00667D4A"/>
    <w:rsid w:val="00675DBB"/>
    <w:rsid w:val="00677F5A"/>
    <w:rsid w:val="00690D12"/>
    <w:rsid w:val="00693797"/>
    <w:rsid w:val="006967D4"/>
    <w:rsid w:val="006A3ACA"/>
    <w:rsid w:val="006C07BA"/>
    <w:rsid w:val="006D2EDE"/>
    <w:rsid w:val="006E11C6"/>
    <w:rsid w:val="006E41A4"/>
    <w:rsid w:val="006F2340"/>
    <w:rsid w:val="006F2514"/>
    <w:rsid w:val="006F446F"/>
    <w:rsid w:val="0070128B"/>
    <w:rsid w:val="007140CF"/>
    <w:rsid w:val="007240D5"/>
    <w:rsid w:val="00726E36"/>
    <w:rsid w:val="00740568"/>
    <w:rsid w:val="0075737D"/>
    <w:rsid w:val="00762B2B"/>
    <w:rsid w:val="00776C32"/>
    <w:rsid w:val="00776F8A"/>
    <w:rsid w:val="00777DD8"/>
    <w:rsid w:val="0078335E"/>
    <w:rsid w:val="007877ED"/>
    <w:rsid w:val="007919F1"/>
    <w:rsid w:val="007A295A"/>
    <w:rsid w:val="007A2C8F"/>
    <w:rsid w:val="007A354A"/>
    <w:rsid w:val="007C5088"/>
    <w:rsid w:val="007E41FA"/>
    <w:rsid w:val="007F20AD"/>
    <w:rsid w:val="00804C98"/>
    <w:rsid w:val="00806C78"/>
    <w:rsid w:val="008117CC"/>
    <w:rsid w:val="00823FF3"/>
    <w:rsid w:val="00824E68"/>
    <w:rsid w:val="008254DA"/>
    <w:rsid w:val="0082713E"/>
    <w:rsid w:val="00863174"/>
    <w:rsid w:val="0086326F"/>
    <w:rsid w:val="00871CE0"/>
    <w:rsid w:val="00872CA5"/>
    <w:rsid w:val="00882F5B"/>
    <w:rsid w:val="00887087"/>
    <w:rsid w:val="008A69AB"/>
    <w:rsid w:val="008C2E25"/>
    <w:rsid w:val="008C64E4"/>
    <w:rsid w:val="008D2E8D"/>
    <w:rsid w:val="008E16CB"/>
    <w:rsid w:val="008F62B7"/>
    <w:rsid w:val="009001F4"/>
    <w:rsid w:val="00902F57"/>
    <w:rsid w:val="00904E58"/>
    <w:rsid w:val="009137EF"/>
    <w:rsid w:val="00934FAE"/>
    <w:rsid w:val="00936963"/>
    <w:rsid w:val="00982D8B"/>
    <w:rsid w:val="00996EEC"/>
    <w:rsid w:val="009D3A43"/>
    <w:rsid w:val="009D4BEE"/>
    <w:rsid w:val="009D7322"/>
    <w:rsid w:val="009D7915"/>
    <w:rsid w:val="00A22C5F"/>
    <w:rsid w:val="00A43466"/>
    <w:rsid w:val="00A44B8E"/>
    <w:rsid w:val="00A44E14"/>
    <w:rsid w:val="00A45444"/>
    <w:rsid w:val="00A474DD"/>
    <w:rsid w:val="00A61E75"/>
    <w:rsid w:val="00A673C1"/>
    <w:rsid w:val="00A705D8"/>
    <w:rsid w:val="00A7364C"/>
    <w:rsid w:val="00A87EA1"/>
    <w:rsid w:val="00A947AF"/>
    <w:rsid w:val="00AC38E6"/>
    <w:rsid w:val="00AC5FAC"/>
    <w:rsid w:val="00AE08E3"/>
    <w:rsid w:val="00AE2835"/>
    <w:rsid w:val="00AE34BB"/>
    <w:rsid w:val="00AF67C0"/>
    <w:rsid w:val="00AF7A67"/>
    <w:rsid w:val="00B04094"/>
    <w:rsid w:val="00B062AF"/>
    <w:rsid w:val="00B118E9"/>
    <w:rsid w:val="00B241A6"/>
    <w:rsid w:val="00B266F2"/>
    <w:rsid w:val="00B4070F"/>
    <w:rsid w:val="00B40D8E"/>
    <w:rsid w:val="00B55A41"/>
    <w:rsid w:val="00B564E5"/>
    <w:rsid w:val="00B7419C"/>
    <w:rsid w:val="00B8308D"/>
    <w:rsid w:val="00B84849"/>
    <w:rsid w:val="00B94E45"/>
    <w:rsid w:val="00BA00C5"/>
    <w:rsid w:val="00BA531D"/>
    <w:rsid w:val="00BA7F88"/>
    <w:rsid w:val="00BB4032"/>
    <w:rsid w:val="00BB75B7"/>
    <w:rsid w:val="00BB7AE2"/>
    <w:rsid w:val="00BD087E"/>
    <w:rsid w:val="00BE7298"/>
    <w:rsid w:val="00C02B7A"/>
    <w:rsid w:val="00C05A4F"/>
    <w:rsid w:val="00C20511"/>
    <w:rsid w:val="00C2064F"/>
    <w:rsid w:val="00C25F4B"/>
    <w:rsid w:val="00C26E54"/>
    <w:rsid w:val="00C31515"/>
    <w:rsid w:val="00C379FF"/>
    <w:rsid w:val="00C458B0"/>
    <w:rsid w:val="00C4748D"/>
    <w:rsid w:val="00C4768D"/>
    <w:rsid w:val="00C514F8"/>
    <w:rsid w:val="00C61A30"/>
    <w:rsid w:val="00C7174A"/>
    <w:rsid w:val="00C74D96"/>
    <w:rsid w:val="00C75E65"/>
    <w:rsid w:val="00CA183B"/>
    <w:rsid w:val="00CA1E91"/>
    <w:rsid w:val="00CA1F9D"/>
    <w:rsid w:val="00CA337B"/>
    <w:rsid w:val="00CA64CF"/>
    <w:rsid w:val="00CB26FA"/>
    <w:rsid w:val="00CB7A34"/>
    <w:rsid w:val="00CC1A0A"/>
    <w:rsid w:val="00CC211B"/>
    <w:rsid w:val="00CC4978"/>
    <w:rsid w:val="00CE60B3"/>
    <w:rsid w:val="00CF1785"/>
    <w:rsid w:val="00D1019A"/>
    <w:rsid w:val="00D15689"/>
    <w:rsid w:val="00D34055"/>
    <w:rsid w:val="00D34906"/>
    <w:rsid w:val="00D37687"/>
    <w:rsid w:val="00D47D80"/>
    <w:rsid w:val="00D50CC7"/>
    <w:rsid w:val="00D60687"/>
    <w:rsid w:val="00D62EF3"/>
    <w:rsid w:val="00D679FC"/>
    <w:rsid w:val="00D73C9D"/>
    <w:rsid w:val="00D839F7"/>
    <w:rsid w:val="00DA29A0"/>
    <w:rsid w:val="00DB69AA"/>
    <w:rsid w:val="00DC03DD"/>
    <w:rsid w:val="00DC7CA8"/>
    <w:rsid w:val="00DD0E80"/>
    <w:rsid w:val="00DE1155"/>
    <w:rsid w:val="00DF3F05"/>
    <w:rsid w:val="00E01206"/>
    <w:rsid w:val="00E050DA"/>
    <w:rsid w:val="00E20DAF"/>
    <w:rsid w:val="00E36F56"/>
    <w:rsid w:val="00E40765"/>
    <w:rsid w:val="00E46A2F"/>
    <w:rsid w:val="00E5056E"/>
    <w:rsid w:val="00E53D9B"/>
    <w:rsid w:val="00E557B2"/>
    <w:rsid w:val="00E70070"/>
    <w:rsid w:val="00E70F7F"/>
    <w:rsid w:val="00E73B25"/>
    <w:rsid w:val="00E8079D"/>
    <w:rsid w:val="00E83A20"/>
    <w:rsid w:val="00E84367"/>
    <w:rsid w:val="00EA53BE"/>
    <w:rsid w:val="00EB4034"/>
    <w:rsid w:val="00EC6F80"/>
    <w:rsid w:val="00ED3878"/>
    <w:rsid w:val="00ED3A2E"/>
    <w:rsid w:val="00ED42E7"/>
    <w:rsid w:val="00ED7C3A"/>
    <w:rsid w:val="00EE2C63"/>
    <w:rsid w:val="00EE4161"/>
    <w:rsid w:val="00EE73C8"/>
    <w:rsid w:val="00F20266"/>
    <w:rsid w:val="00F30DAA"/>
    <w:rsid w:val="00F33EBF"/>
    <w:rsid w:val="00F4184B"/>
    <w:rsid w:val="00F43CF7"/>
    <w:rsid w:val="00F4469B"/>
    <w:rsid w:val="00F5663B"/>
    <w:rsid w:val="00F57FB1"/>
    <w:rsid w:val="00F66ABC"/>
    <w:rsid w:val="00F87578"/>
    <w:rsid w:val="00F924CF"/>
    <w:rsid w:val="00F9593B"/>
    <w:rsid w:val="00FA6398"/>
    <w:rsid w:val="00FA7356"/>
    <w:rsid w:val="00FB28DD"/>
    <w:rsid w:val="00FC0107"/>
    <w:rsid w:val="00FC139B"/>
    <w:rsid w:val="00FC1E5A"/>
    <w:rsid w:val="00FC33E3"/>
    <w:rsid w:val="00FE0A69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character" w:styleId="af4">
    <w:name w:val="Hyperlink"/>
    <w:basedOn w:val="a0"/>
    <w:uiPriority w:val="99"/>
    <w:unhideWhenUsed/>
    <w:rsid w:val="002815C2"/>
    <w:rPr>
      <w:color w:val="0000FF" w:themeColor="hyperlink"/>
      <w:u w:val="single"/>
    </w:rPr>
  </w:style>
  <w:style w:type="paragraph" w:styleId="af5">
    <w:name w:val="No Spacing"/>
    <w:uiPriority w:val="1"/>
    <w:qFormat/>
    <w:rsid w:val="00872CA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f6">
    <w:name w:val="header"/>
    <w:basedOn w:val="a"/>
    <w:link w:val="af7"/>
    <w:uiPriority w:val="99"/>
    <w:unhideWhenUsed/>
    <w:rsid w:val="007A3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7A354A"/>
  </w:style>
  <w:style w:type="paragraph" w:styleId="af8">
    <w:name w:val="footer"/>
    <w:basedOn w:val="a"/>
    <w:link w:val="af9"/>
    <w:uiPriority w:val="99"/>
    <w:unhideWhenUsed/>
    <w:rsid w:val="007A3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7A354A"/>
  </w:style>
  <w:style w:type="character" w:customStyle="1" w:styleId="afa">
    <w:name w:val="Основной текст_"/>
    <w:basedOn w:val="a0"/>
    <w:link w:val="11"/>
    <w:locked/>
    <w:rsid w:val="009D4B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a"/>
    <w:rsid w:val="009D4BEE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fa"/>
    <w:rsid w:val="009D4BEE"/>
    <w:rPr>
      <w:rFonts w:ascii="Times New Roman" w:eastAsia="Times New Roman" w:hAnsi="Times New Roman" w:cs="Times New Roman"/>
      <w:spacing w:val="-20"/>
      <w:sz w:val="23"/>
      <w:szCs w:val="23"/>
      <w:shd w:val="clear" w:color="auto" w:fill="FFFFFF"/>
    </w:rPr>
  </w:style>
  <w:style w:type="table" w:customStyle="1" w:styleId="-111">
    <w:name w:val="Светлый список - Акцент 111"/>
    <w:basedOn w:val="a1"/>
    <w:uiPriority w:val="61"/>
    <w:rsid w:val="00AC5FAC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DC7CA8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2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E70070"/>
  </w:style>
  <w:style w:type="character" w:styleId="af4">
    <w:name w:val="Hyperlink"/>
    <w:basedOn w:val="a0"/>
    <w:uiPriority w:val="99"/>
    <w:unhideWhenUsed/>
    <w:rsid w:val="002815C2"/>
    <w:rPr>
      <w:color w:val="0000FF" w:themeColor="hyperlink"/>
      <w:u w:val="single"/>
    </w:rPr>
  </w:style>
  <w:style w:type="paragraph" w:styleId="af5">
    <w:name w:val="No Spacing"/>
    <w:uiPriority w:val="1"/>
    <w:qFormat/>
    <w:rsid w:val="00872CA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f6">
    <w:name w:val="header"/>
    <w:basedOn w:val="a"/>
    <w:link w:val="af7"/>
    <w:uiPriority w:val="99"/>
    <w:unhideWhenUsed/>
    <w:rsid w:val="007A3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7A354A"/>
  </w:style>
  <w:style w:type="paragraph" w:styleId="af8">
    <w:name w:val="footer"/>
    <w:basedOn w:val="a"/>
    <w:link w:val="af9"/>
    <w:uiPriority w:val="99"/>
    <w:unhideWhenUsed/>
    <w:rsid w:val="007A3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7A354A"/>
  </w:style>
  <w:style w:type="character" w:customStyle="1" w:styleId="afa">
    <w:name w:val="Основной текст_"/>
    <w:basedOn w:val="a0"/>
    <w:link w:val="11"/>
    <w:locked/>
    <w:rsid w:val="009D4B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fa"/>
    <w:rsid w:val="009D4BEE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-1pt">
    <w:name w:val="Основной текст + Интервал -1 pt"/>
    <w:basedOn w:val="afa"/>
    <w:rsid w:val="009D4BEE"/>
    <w:rPr>
      <w:rFonts w:ascii="Times New Roman" w:eastAsia="Times New Roman" w:hAnsi="Times New Roman" w:cs="Times New Roman"/>
      <w:spacing w:val="-20"/>
      <w:sz w:val="23"/>
      <w:szCs w:val="23"/>
      <w:shd w:val="clear" w:color="auto" w:fill="FFFFFF"/>
    </w:rPr>
  </w:style>
  <w:style w:type="table" w:customStyle="1" w:styleId="-111">
    <w:name w:val="Светлый список - Акцент 111"/>
    <w:basedOn w:val="a1"/>
    <w:uiPriority w:val="61"/>
    <w:rsid w:val="00AC5FAC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_________Microsoft_Visio11.vsdx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BA9775FFEBAD1FE5747121E01D7B4802011A8F883EF68A4432159343AABF6A6A2E56257d2T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C055B-7798-4051-AF22-88F8092F8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18</Pages>
  <Words>2448</Words>
  <Characters>13957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Тележинский Руслан Витальевич</cp:lastModifiedBy>
  <cp:revision>13</cp:revision>
  <cp:lastPrinted>2014-08-01T10:40:00Z</cp:lastPrinted>
  <dcterms:created xsi:type="dcterms:W3CDTF">2023-11-18T01:44:00Z</dcterms:created>
  <dcterms:modified xsi:type="dcterms:W3CDTF">2023-11-27T07:50:00Z</dcterms:modified>
</cp:coreProperties>
</file>